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6FA73699"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6073EA">
        <w:t>9</w:t>
      </w:r>
      <w:r w:rsidR="00121103">
        <w:t>8</w:t>
      </w:r>
      <w:r w:rsidR="00A14D3F">
        <w:t>-e</w:t>
      </w:r>
      <w:r>
        <w:tab/>
      </w:r>
      <w:r w:rsidR="00D46431">
        <w:tab/>
      </w:r>
      <w:r w:rsidR="00FE24DE" w:rsidRPr="00FE24DE">
        <w:t>R4-2102607</w:t>
      </w:r>
    </w:p>
    <w:p w14:paraId="50DC9730" w14:textId="352CC3E9" w:rsidR="00D309CC" w:rsidRPr="00FD166F" w:rsidRDefault="00A14D3F" w:rsidP="00D46431">
      <w:pPr>
        <w:pStyle w:val="CH"/>
        <w:tabs>
          <w:tab w:val="clear" w:pos="7920"/>
        </w:tabs>
        <w:rPr>
          <w:b w:val="0"/>
        </w:rPr>
      </w:pPr>
      <w:r>
        <w:t>Online</w:t>
      </w:r>
      <w:r w:rsidR="00EC4847" w:rsidRPr="00EC4847">
        <w:t xml:space="preserve">, </w:t>
      </w:r>
      <w:r w:rsidR="00121103">
        <w:t>Jan.</w:t>
      </w:r>
      <w:r w:rsidRPr="00A14D3F">
        <w:t xml:space="preserve"> 2</w:t>
      </w:r>
      <w:r w:rsidR="00121103">
        <w:t>5</w:t>
      </w:r>
      <w:r w:rsidR="00121103">
        <w:rPr>
          <w:vertAlign w:val="superscript"/>
        </w:rPr>
        <w:t>th</w:t>
      </w:r>
      <w:r w:rsidRPr="00A14D3F">
        <w:t xml:space="preserve"> – </w:t>
      </w:r>
      <w:r w:rsidR="00121103">
        <w:t>Feb. 05</w:t>
      </w:r>
      <w:r w:rsidRPr="00A14D3F">
        <w:rPr>
          <w:vertAlign w:val="superscript"/>
        </w:rPr>
        <w:t>th</w:t>
      </w:r>
      <w:r w:rsidRPr="00A14D3F">
        <w:t>, 202</w:t>
      </w:r>
      <w:r w:rsidR="00121103">
        <w:t>1</w:t>
      </w:r>
    </w:p>
    <w:p w14:paraId="39A0EE25" w14:textId="77777777" w:rsidR="00D309CC" w:rsidRDefault="00D309CC" w:rsidP="00D309CC">
      <w:pPr>
        <w:tabs>
          <w:tab w:val="left" w:pos="2160"/>
        </w:tabs>
        <w:rPr>
          <w:rFonts w:ascii="Arial" w:hAnsi="Arial" w:cs="Arial"/>
          <w:b/>
        </w:rPr>
      </w:pPr>
    </w:p>
    <w:p w14:paraId="6DDCE159" w14:textId="315490AF" w:rsidR="00D309CC" w:rsidRPr="0008103A" w:rsidRDefault="00D309CC" w:rsidP="00D309CC">
      <w:pPr>
        <w:pStyle w:val="CH"/>
        <w:rPr>
          <w:b w:val="0"/>
        </w:rPr>
      </w:pPr>
      <w:r w:rsidRPr="0008103A">
        <w:t>Agenda item:</w:t>
      </w:r>
      <w:r>
        <w:tab/>
      </w:r>
      <w:r w:rsidR="0041733B">
        <w:t>1</w:t>
      </w:r>
      <w:r w:rsidR="00AD32E7">
        <w:t>1.3.2.1.</w:t>
      </w:r>
      <w:r w:rsidR="000607C9">
        <w:t>2</w:t>
      </w:r>
    </w:p>
    <w:p w14:paraId="4DBE005A" w14:textId="7305EFDF" w:rsidR="00D309CC" w:rsidRPr="0008103A" w:rsidRDefault="00D309CC" w:rsidP="00D309CC">
      <w:pPr>
        <w:pStyle w:val="CH"/>
        <w:rPr>
          <w:b w:val="0"/>
        </w:rPr>
      </w:pPr>
      <w:r>
        <w:t>Source:</w:t>
      </w:r>
      <w:r>
        <w:tab/>
        <w:t>Apple</w:t>
      </w:r>
    </w:p>
    <w:p w14:paraId="0D2061A1" w14:textId="323E5678" w:rsidR="00D309CC" w:rsidRDefault="00D309CC" w:rsidP="00D309CC">
      <w:pPr>
        <w:pStyle w:val="CH"/>
      </w:pPr>
      <w:r w:rsidRPr="0008103A">
        <w:t>Title:</w:t>
      </w:r>
      <w:r w:rsidRPr="0008103A">
        <w:tab/>
      </w:r>
      <w:r w:rsidR="000206DB">
        <w:t>CA_n258A-n260A and CA_n257A-n259A based on IBM</w:t>
      </w:r>
      <w:r w:rsidR="00AC0150">
        <w:t xml:space="preserve"> </w:t>
      </w:r>
    </w:p>
    <w:p w14:paraId="052B1E0C" w14:textId="1CD2141C" w:rsidR="00104BC6" w:rsidRDefault="00104BC6" w:rsidP="00D309CC">
      <w:pPr>
        <w:pStyle w:val="CH"/>
      </w:pPr>
      <w:r>
        <w:t>WI/SI:</w:t>
      </w:r>
      <w:r>
        <w:tab/>
      </w:r>
      <w:r w:rsidR="009751F6" w:rsidRPr="009751F6">
        <w:t>NR_RF_FR2_req_enh2-Core</w:t>
      </w:r>
    </w:p>
    <w:p w14:paraId="6C6D1281" w14:textId="2916DA0F" w:rsidR="00104BC6" w:rsidRDefault="00104BC6" w:rsidP="00D309CC">
      <w:pPr>
        <w:pStyle w:val="CH"/>
        <w:rPr>
          <w:b w:val="0"/>
        </w:rPr>
      </w:pPr>
      <w:r>
        <w:t>Release:</w:t>
      </w:r>
      <w:r>
        <w:tab/>
      </w:r>
      <w:r w:rsidRPr="00261B7C">
        <w:t>Rel-</w:t>
      </w:r>
      <w:r w:rsidR="00261B7C">
        <w:t>1</w:t>
      </w:r>
      <w:r w:rsidR="0041733B">
        <w:t>7</w:t>
      </w:r>
    </w:p>
    <w:p w14:paraId="2E4E044D" w14:textId="06423315" w:rsidR="00D309CC" w:rsidRDefault="00D309CC" w:rsidP="00D309CC">
      <w:pPr>
        <w:pStyle w:val="CH"/>
      </w:pPr>
      <w:r>
        <w:t>Document for:</w:t>
      </w:r>
      <w:r>
        <w:tab/>
      </w:r>
      <w:r w:rsidR="000206DB">
        <w:t>Discussion</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Default="004768DA" w:rsidP="004768DA">
      <w:pPr>
        <w:spacing w:after="0"/>
        <w:jc w:val="both"/>
        <w:rPr>
          <w:rFonts w:ascii="Arial" w:hAnsi="Arial" w:cs="Arial"/>
        </w:rPr>
      </w:pPr>
    </w:p>
    <w:p w14:paraId="06E92CC7" w14:textId="36B8C262" w:rsidR="008E7986" w:rsidRPr="00A75621" w:rsidRDefault="000206DB" w:rsidP="00A75621">
      <w:pPr>
        <w:jc w:val="both"/>
        <w:rPr>
          <w:rFonts w:ascii="Arial" w:hAnsi="Arial" w:cs="Arial"/>
        </w:rPr>
      </w:pPr>
      <w:r>
        <w:rPr>
          <w:rFonts w:ascii="Arial" w:hAnsi="Arial" w:cs="Arial"/>
        </w:rPr>
        <w:t xml:space="preserve">FR2 inter-band DL CA was first introduced in Rel-16 as one of the objectives in FR2 UE RF requirements enhancement WID which was concluded with requirements defined for one particular band combination CA_n260A-n261A based on independent beam management (IBM). The efforts in defining DL inter-band CA requirements within different frequency groups based on IBM are continued in Rel-17 FR2 UE RF requirements enhancement WID [1] where CA_n258A-n260A and CA_n257A-n259A requirements are to be developed. In last RAN4 meeting, a WF </w:t>
      </w:r>
      <w:r w:rsidRPr="000206DB">
        <w:rPr>
          <w:rFonts w:ascii="Arial" w:hAnsi="Arial" w:cs="Arial"/>
        </w:rPr>
        <w:t>on UE requirements for CA configurations CA_n258A-n260A and CA_n257A-n259A based on IBM</w:t>
      </w:r>
      <w:r>
        <w:rPr>
          <w:rFonts w:ascii="Arial" w:hAnsi="Arial" w:cs="Arial"/>
        </w:rPr>
        <w:t xml:space="preserve"> [3] was approved where it was agreed that </w:t>
      </w:r>
      <w:r w:rsidRPr="000206DB">
        <w:rPr>
          <w:rFonts w:ascii="Arial" w:hAnsi="Arial" w:cs="Arial"/>
        </w:rPr>
        <w:t xml:space="preserve">RF </w:t>
      </w:r>
      <w:r>
        <w:rPr>
          <w:rFonts w:ascii="Arial" w:hAnsi="Arial" w:cs="Arial"/>
        </w:rPr>
        <w:t>r</w:t>
      </w:r>
      <w:r w:rsidRPr="000206DB">
        <w:rPr>
          <w:rFonts w:ascii="Arial" w:hAnsi="Arial" w:cs="Arial"/>
        </w:rPr>
        <w:t>equirements for CA_n260A-n261A are used as the baseline requirements for CA_n258A-n260A and CA_n257A-n259A.</w:t>
      </w:r>
      <w:r>
        <w:rPr>
          <w:rFonts w:ascii="Arial" w:hAnsi="Arial" w:cs="Arial"/>
        </w:rPr>
        <w:t xml:space="preserve"> In this contribution, we share our views on whether the RF requirements defined for </w:t>
      </w:r>
      <w:r w:rsidRPr="000206DB">
        <w:rPr>
          <w:rFonts w:ascii="Arial" w:hAnsi="Arial" w:cs="Arial"/>
        </w:rPr>
        <w:t>CA_n260A-n261A</w:t>
      </w:r>
      <w:r>
        <w:rPr>
          <w:rFonts w:ascii="Arial" w:hAnsi="Arial" w:cs="Arial"/>
        </w:rPr>
        <w:t xml:space="preserve"> are applicable to </w:t>
      </w:r>
      <w:r w:rsidRPr="000206DB">
        <w:rPr>
          <w:rFonts w:ascii="Arial" w:hAnsi="Arial" w:cs="Arial"/>
        </w:rPr>
        <w:t>CA_n258A-n260A and CA_n257A-n259A</w:t>
      </w:r>
      <w:r>
        <w:rPr>
          <w:rFonts w:ascii="Arial" w:hAnsi="Arial" w:cs="Arial"/>
        </w:rPr>
        <w:t xml:space="preserve">. </w:t>
      </w:r>
      <w:r w:rsidR="00AD32E7">
        <w:rPr>
          <w:rFonts w:ascii="Arial" w:hAnsi="Arial" w:cs="Arial"/>
        </w:rPr>
        <w:t xml:space="preserve"> </w:t>
      </w:r>
      <w:r w:rsidR="00121103">
        <w:rPr>
          <w:rFonts w:ascii="Arial" w:hAnsi="Arial" w:cs="Arial"/>
        </w:rPr>
        <w:t xml:space="preserve">       </w:t>
      </w:r>
      <w:r w:rsidR="0041733B">
        <w:rPr>
          <w:rFonts w:ascii="Arial" w:hAnsi="Arial" w:cs="Arial"/>
        </w:rPr>
        <w:t xml:space="preserve">     </w:t>
      </w:r>
      <w:r w:rsidR="00AC0150">
        <w:rPr>
          <w:rFonts w:ascii="Arial" w:hAnsi="Arial" w:cs="Arial"/>
        </w:rPr>
        <w:t xml:space="preserve">    </w:t>
      </w:r>
    </w:p>
    <w:p w14:paraId="3A67921B" w14:textId="518FE425" w:rsidR="008E7986" w:rsidRDefault="00D463D6" w:rsidP="00AD32E7">
      <w:pPr>
        <w:pStyle w:val="Heading1"/>
        <w:numPr>
          <w:ilvl w:val="0"/>
          <w:numId w:val="11"/>
        </w:numPr>
        <w:ind w:left="1138" w:hanging="1138"/>
      </w:pPr>
      <w:r>
        <w:t>Discussion</w:t>
      </w:r>
    </w:p>
    <w:p w14:paraId="187FBF8E" w14:textId="03CA7DCB" w:rsidR="002D61E3" w:rsidRDefault="002D61E3" w:rsidP="0041733B">
      <w:pPr>
        <w:spacing w:after="0"/>
        <w:jc w:val="both"/>
        <w:rPr>
          <w:rFonts w:ascii="Arial" w:hAnsi="Arial" w:cs="Arial"/>
        </w:rPr>
      </w:pPr>
    </w:p>
    <w:p w14:paraId="0655682F" w14:textId="32BFC085" w:rsidR="000206DB" w:rsidRDefault="000206DB" w:rsidP="0041733B">
      <w:pPr>
        <w:spacing w:after="120"/>
        <w:jc w:val="both"/>
        <w:rPr>
          <w:rFonts w:ascii="Arial" w:hAnsi="Arial" w:cs="Arial"/>
        </w:rPr>
      </w:pPr>
      <w:r>
        <w:rPr>
          <w:rFonts w:ascii="Arial" w:hAnsi="Arial" w:cs="Arial"/>
        </w:rPr>
        <w:t>The RF requirements for inter-band DL CA_n260A-n261A based on IBM has been defined as a relaxation (</w:t>
      </w:r>
      <w:r w:rsidRPr="00C04A08">
        <w:rPr>
          <w:rFonts w:ascii="Arial" w:eastAsia="Malgun Gothic" w:hAnsi="Arial"/>
          <w:b/>
          <w:sz w:val="18"/>
        </w:rPr>
        <w:t>ΔR</w:t>
      </w:r>
      <w:r w:rsidRPr="00C04A08">
        <w:rPr>
          <w:rFonts w:ascii="Arial" w:eastAsia="Malgun Gothic" w:hAnsi="Arial"/>
          <w:b/>
          <w:sz w:val="18"/>
          <w:vertAlign w:val="subscript"/>
        </w:rPr>
        <w:t>IB</w:t>
      </w:r>
      <w:r>
        <w:rPr>
          <w:rFonts w:ascii="Arial" w:hAnsi="Arial" w:cs="Arial"/>
        </w:rPr>
        <w:t xml:space="preserve"> in dB) relative to REFSENS and spherical coverage EIS requirements for each constituent band. The relaxation is intended to accommodate the EIS performance degradation under CA operation due to the potential misalignment in beam peak direction and spherical coverage range between the two carriers as well as the receiver blocking effect from the untested carrier to the carrier under test. And these two impairments will be the main factors to identify the RF requirements difference for </w:t>
      </w:r>
      <w:r w:rsidRPr="000206DB">
        <w:rPr>
          <w:rFonts w:ascii="Arial" w:hAnsi="Arial" w:cs="Arial"/>
        </w:rPr>
        <w:t>CA_n258A-n260A and CA_n257A-n259A</w:t>
      </w:r>
      <w:r>
        <w:rPr>
          <w:rFonts w:ascii="Arial" w:hAnsi="Arial" w:cs="Arial"/>
        </w:rPr>
        <w:t xml:space="preserve"> relative to CA_</w:t>
      </w:r>
      <w:r w:rsidRPr="000206DB">
        <w:rPr>
          <w:rFonts w:ascii="Arial" w:hAnsi="Arial" w:cs="Arial"/>
        </w:rPr>
        <w:t xml:space="preserve"> n260A-n261A</w:t>
      </w:r>
      <w:r>
        <w:rPr>
          <w:rFonts w:ascii="Arial" w:hAnsi="Arial" w:cs="Arial"/>
        </w:rPr>
        <w:t>.</w:t>
      </w:r>
    </w:p>
    <w:p w14:paraId="330D890A" w14:textId="2D218075" w:rsidR="000206DB" w:rsidRDefault="000206DB" w:rsidP="000206DB">
      <w:pPr>
        <w:spacing w:after="0"/>
        <w:jc w:val="both"/>
        <w:rPr>
          <w:rFonts w:ascii="Arial" w:hAnsi="Arial" w:cs="Arial"/>
        </w:rPr>
      </w:pPr>
    </w:p>
    <w:p w14:paraId="7F252C8F" w14:textId="28397302" w:rsidR="000206DB" w:rsidRDefault="000206DB" w:rsidP="0041733B">
      <w:pPr>
        <w:spacing w:after="120"/>
        <w:jc w:val="both"/>
        <w:rPr>
          <w:rFonts w:ascii="Arial" w:hAnsi="Arial" w:cs="Arial"/>
        </w:rPr>
      </w:pPr>
      <w:r>
        <w:rPr>
          <w:rFonts w:ascii="Arial" w:hAnsi="Arial" w:cs="Arial"/>
        </w:rPr>
        <w:t>The misalignment in beam peak direction and spherical coverage range may result from non-collocated antenna arrays for the two carriers where the deviation could be frequency dependent. On the other hand, the receiver blocking effect from the untested carrier to the carrier under test would depend on the PSD difference between CC1 spherical coverage requirement and CC2 REFSENS requirement and vice versa. Table 2-1 summarizes the carrier frequency separation ranges and receiver blocking PSD difference among the three CA combinations under consideration.</w:t>
      </w:r>
    </w:p>
    <w:p w14:paraId="29A02DDB" w14:textId="77777777" w:rsidR="000206DB" w:rsidRDefault="000206DB" w:rsidP="000206DB">
      <w:pPr>
        <w:spacing w:after="0"/>
        <w:jc w:val="both"/>
        <w:rPr>
          <w:rFonts w:ascii="Arial" w:hAnsi="Arial" w:cs="Arial"/>
        </w:rPr>
      </w:pPr>
    </w:p>
    <w:tbl>
      <w:tblPr>
        <w:tblW w:w="9380" w:type="dxa"/>
        <w:jc w:val="center"/>
        <w:tblLook w:val="04A0" w:firstRow="1" w:lastRow="0" w:firstColumn="1" w:lastColumn="0" w:noHBand="0" w:noVBand="1"/>
      </w:tblPr>
      <w:tblGrid>
        <w:gridCol w:w="2100"/>
        <w:gridCol w:w="1820"/>
        <w:gridCol w:w="1820"/>
        <w:gridCol w:w="1820"/>
        <w:gridCol w:w="1820"/>
      </w:tblGrid>
      <w:tr w:rsidR="000206DB" w:rsidRPr="000206DB" w14:paraId="5FA867EE" w14:textId="77777777" w:rsidTr="000206DB">
        <w:trPr>
          <w:trHeight w:val="288"/>
          <w:jc w:val="center"/>
        </w:trPr>
        <w:tc>
          <w:tcPr>
            <w:tcW w:w="210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9035FB7" w14:textId="77777777" w:rsidR="000206DB" w:rsidRPr="000206DB" w:rsidRDefault="000206DB" w:rsidP="000206DB">
            <w:pPr>
              <w:spacing w:after="0"/>
              <w:jc w:val="center"/>
              <w:rPr>
                <w:rFonts w:ascii="Calibri" w:hAnsi="Calibri" w:cs="Calibri"/>
                <w:color w:val="000000"/>
                <w:lang w:val="en-US"/>
              </w:rPr>
            </w:pPr>
            <w:r w:rsidRPr="000206DB">
              <w:rPr>
                <w:rFonts w:ascii="Calibri" w:hAnsi="Calibri" w:cs="Calibri"/>
                <w:color w:val="000000"/>
                <w:lang w:val="en-US"/>
              </w:rPr>
              <w:t>Combination</w:t>
            </w:r>
          </w:p>
        </w:tc>
        <w:tc>
          <w:tcPr>
            <w:tcW w:w="1820" w:type="dxa"/>
            <w:tcBorders>
              <w:top w:val="single" w:sz="8" w:space="0" w:color="auto"/>
              <w:left w:val="nil"/>
              <w:bottom w:val="single" w:sz="4" w:space="0" w:color="auto"/>
              <w:right w:val="single" w:sz="4" w:space="0" w:color="auto"/>
            </w:tcBorders>
            <w:shd w:val="clear" w:color="auto" w:fill="auto"/>
            <w:noWrap/>
            <w:vAlign w:val="center"/>
            <w:hideMark/>
          </w:tcPr>
          <w:p w14:paraId="117BF801" w14:textId="77777777" w:rsidR="000206DB" w:rsidRPr="000206DB" w:rsidRDefault="000206DB" w:rsidP="000206DB">
            <w:pPr>
              <w:spacing w:after="0"/>
              <w:jc w:val="center"/>
              <w:rPr>
                <w:rFonts w:ascii="Calibri" w:hAnsi="Calibri" w:cs="Calibri"/>
                <w:color w:val="000000"/>
                <w:lang w:val="en-US"/>
              </w:rPr>
            </w:pPr>
            <w:r w:rsidRPr="000206DB">
              <w:rPr>
                <w:rFonts w:ascii="Calibri" w:hAnsi="Calibri" w:cs="Calibri"/>
                <w:color w:val="000000"/>
                <w:lang w:val="en-US"/>
              </w:rPr>
              <w:t xml:space="preserve">Max </w:t>
            </w:r>
            <w:r w:rsidRPr="000206DB">
              <w:rPr>
                <w:rFonts w:ascii="Symbol" w:hAnsi="Symbol" w:cs="Calibri"/>
                <w:color w:val="000000"/>
                <w:lang w:val="en-US"/>
              </w:rPr>
              <w:t>D</w:t>
            </w:r>
            <w:r w:rsidRPr="000206DB">
              <w:rPr>
                <w:rFonts w:ascii="Calibri" w:hAnsi="Calibri" w:cs="Calibri"/>
                <w:color w:val="000000"/>
                <w:lang w:val="en-US"/>
              </w:rPr>
              <w:t>f (GHz)</w:t>
            </w:r>
          </w:p>
        </w:tc>
        <w:tc>
          <w:tcPr>
            <w:tcW w:w="1820" w:type="dxa"/>
            <w:tcBorders>
              <w:top w:val="single" w:sz="8" w:space="0" w:color="auto"/>
              <w:left w:val="nil"/>
              <w:bottom w:val="single" w:sz="4" w:space="0" w:color="auto"/>
              <w:right w:val="single" w:sz="4" w:space="0" w:color="auto"/>
            </w:tcBorders>
            <w:shd w:val="clear" w:color="auto" w:fill="auto"/>
            <w:noWrap/>
            <w:vAlign w:val="center"/>
            <w:hideMark/>
          </w:tcPr>
          <w:p w14:paraId="5BE5F00A" w14:textId="77777777" w:rsidR="000206DB" w:rsidRPr="000206DB" w:rsidRDefault="000206DB" w:rsidP="000206DB">
            <w:pPr>
              <w:spacing w:after="0"/>
              <w:jc w:val="center"/>
              <w:rPr>
                <w:rFonts w:ascii="Calibri" w:hAnsi="Calibri" w:cs="Calibri"/>
                <w:color w:val="000000"/>
                <w:lang w:val="en-US"/>
              </w:rPr>
            </w:pPr>
            <w:r w:rsidRPr="000206DB">
              <w:rPr>
                <w:rFonts w:ascii="Calibri" w:hAnsi="Calibri" w:cs="Calibri"/>
                <w:color w:val="000000"/>
                <w:lang w:val="en-US"/>
              </w:rPr>
              <w:t xml:space="preserve">Min </w:t>
            </w:r>
            <w:r w:rsidRPr="000206DB">
              <w:rPr>
                <w:rFonts w:ascii="Symbol" w:hAnsi="Symbol" w:cs="Calibri"/>
                <w:color w:val="000000"/>
                <w:lang w:val="en-US"/>
              </w:rPr>
              <w:t>D</w:t>
            </w:r>
            <w:r w:rsidRPr="000206DB">
              <w:rPr>
                <w:rFonts w:ascii="Calibri" w:hAnsi="Calibri" w:cs="Calibri"/>
                <w:color w:val="000000"/>
                <w:lang w:val="en-US"/>
              </w:rPr>
              <w:t>f (GHz)</w:t>
            </w:r>
          </w:p>
        </w:tc>
        <w:tc>
          <w:tcPr>
            <w:tcW w:w="1820" w:type="dxa"/>
            <w:tcBorders>
              <w:top w:val="single" w:sz="8" w:space="0" w:color="auto"/>
              <w:left w:val="nil"/>
              <w:bottom w:val="single" w:sz="4" w:space="0" w:color="auto"/>
              <w:right w:val="single" w:sz="4" w:space="0" w:color="auto"/>
            </w:tcBorders>
            <w:shd w:val="clear" w:color="auto" w:fill="auto"/>
            <w:noWrap/>
            <w:vAlign w:val="center"/>
            <w:hideMark/>
          </w:tcPr>
          <w:p w14:paraId="1F3699E2" w14:textId="77777777" w:rsidR="000206DB" w:rsidRPr="000206DB" w:rsidRDefault="000206DB" w:rsidP="000206DB">
            <w:pPr>
              <w:spacing w:after="0"/>
              <w:jc w:val="center"/>
              <w:rPr>
                <w:rFonts w:ascii="Calibri" w:hAnsi="Calibri" w:cs="Calibri"/>
                <w:color w:val="000000"/>
                <w:lang w:val="en-US"/>
              </w:rPr>
            </w:pPr>
            <w:r w:rsidRPr="000206DB">
              <w:rPr>
                <w:rFonts w:ascii="Calibri" w:hAnsi="Calibri" w:cs="Calibri"/>
                <w:color w:val="000000"/>
                <w:lang w:val="en-US"/>
              </w:rPr>
              <w:t xml:space="preserve">L-&gt;H </w:t>
            </w:r>
            <w:r w:rsidRPr="000206DB">
              <w:rPr>
                <w:rFonts w:ascii="Symbol" w:hAnsi="Symbol" w:cs="Calibri"/>
                <w:color w:val="000000"/>
                <w:lang w:val="en-US"/>
              </w:rPr>
              <w:t>D</w:t>
            </w:r>
            <w:r w:rsidRPr="000206DB">
              <w:rPr>
                <w:rFonts w:ascii="Calibri" w:hAnsi="Calibri" w:cs="Calibri"/>
                <w:color w:val="000000"/>
                <w:lang w:val="en-US"/>
              </w:rPr>
              <w:t>PSD (dB)</w:t>
            </w:r>
          </w:p>
        </w:tc>
        <w:tc>
          <w:tcPr>
            <w:tcW w:w="1820" w:type="dxa"/>
            <w:tcBorders>
              <w:top w:val="single" w:sz="8" w:space="0" w:color="auto"/>
              <w:left w:val="nil"/>
              <w:bottom w:val="single" w:sz="4" w:space="0" w:color="auto"/>
              <w:right w:val="single" w:sz="8" w:space="0" w:color="auto"/>
            </w:tcBorders>
            <w:shd w:val="clear" w:color="auto" w:fill="auto"/>
            <w:noWrap/>
            <w:vAlign w:val="center"/>
            <w:hideMark/>
          </w:tcPr>
          <w:p w14:paraId="0CBA3C4F" w14:textId="77777777" w:rsidR="000206DB" w:rsidRPr="000206DB" w:rsidRDefault="000206DB" w:rsidP="000206DB">
            <w:pPr>
              <w:spacing w:after="0"/>
              <w:jc w:val="center"/>
              <w:rPr>
                <w:rFonts w:ascii="Calibri" w:hAnsi="Calibri" w:cs="Calibri"/>
                <w:color w:val="000000"/>
                <w:lang w:val="en-US"/>
              </w:rPr>
            </w:pPr>
            <w:r w:rsidRPr="000206DB">
              <w:rPr>
                <w:rFonts w:ascii="Calibri" w:hAnsi="Calibri" w:cs="Calibri"/>
                <w:color w:val="000000"/>
                <w:lang w:val="en-US"/>
              </w:rPr>
              <w:t xml:space="preserve">H-&gt;L </w:t>
            </w:r>
            <w:r w:rsidRPr="000206DB">
              <w:rPr>
                <w:rFonts w:ascii="Symbol" w:hAnsi="Symbol" w:cs="Calibri"/>
                <w:color w:val="000000"/>
                <w:lang w:val="en-US"/>
              </w:rPr>
              <w:t>D</w:t>
            </w:r>
            <w:r w:rsidRPr="000206DB">
              <w:rPr>
                <w:rFonts w:ascii="Calibri" w:hAnsi="Calibri" w:cs="Calibri"/>
                <w:color w:val="000000"/>
                <w:lang w:val="en-US"/>
              </w:rPr>
              <w:t>PSD (dB)</w:t>
            </w:r>
          </w:p>
        </w:tc>
      </w:tr>
      <w:tr w:rsidR="000206DB" w:rsidRPr="000206DB" w14:paraId="4B255123" w14:textId="77777777" w:rsidTr="000206DB">
        <w:trPr>
          <w:trHeight w:val="288"/>
          <w:jc w:val="center"/>
        </w:trPr>
        <w:tc>
          <w:tcPr>
            <w:tcW w:w="2100" w:type="dxa"/>
            <w:tcBorders>
              <w:top w:val="nil"/>
              <w:left w:val="single" w:sz="8" w:space="0" w:color="auto"/>
              <w:bottom w:val="single" w:sz="4" w:space="0" w:color="auto"/>
              <w:right w:val="single" w:sz="4" w:space="0" w:color="auto"/>
            </w:tcBorders>
            <w:shd w:val="clear" w:color="auto" w:fill="auto"/>
            <w:noWrap/>
            <w:vAlign w:val="center"/>
            <w:hideMark/>
          </w:tcPr>
          <w:p w14:paraId="5AA80F5E" w14:textId="77777777" w:rsidR="000206DB" w:rsidRPr="000206DB" w:rsidRDefault="000206DB" w:rsidP="000206DB">
            <w:pPr>
              <w:spacing w:after="0"/>
              <w:jc w:val="center"/>
              <w:rPr>
                <w:rFonts w:ascii="Calibri" w:hAnsi="Calibri" w:cs="Calibri"/>
                <w:color w:val="000000"/>
                <w:lang w:val="en-US"/>
              </w:rPr>
            </w:pPr>
            <w:r w:rsidRPr="000206DB">
              <w:rPr>
                <w:rFonts w:ascii="Calibri" w:hAnsi="Calibri" w:cs="Calibri"/>
                <w:color w:val="000000"/>
                <w:lang w:val="en-US"/>
              </w:rPr>
              <w:t>CA_n260A-n261A</w:t>
            </w:r>
          </w:p>
        </w:tc>
        <w:tc>
          <w:tcPr>
            <w:tcW w:w="1820" w:type="dxa"/>
            <w:tcBorders>
              <w:top w:val="nil"/>
              <w:left w:val="nil"/>
              <w:bottom w:val="single" w:sz="4" w:space="0" w:color="auto"/>
              <w:right w:val="single" w:sz="4" w:space="0" w:color="auto"/>
            </w:tcBorders>
            <w:shd w:val="clear" w:color="auto" w:fill="auto"/>
            <w:noWrap/>
            <w:vAlign w:val="center"/>
            <w:hideMark/>
          </w:tcPr>
          <w:p w14:paraId="7C62774A" w14:textId="77777777" w:rsidR="000206DB" w:rsidRPr="000206DB" w:rsidRDefault="000206DB" w:rsidP="000206DB">
            <w:pPr>
              <w:spacing w:after="0"/>
              <w:jc w:val="center"/>
              <w:rPr>
                <w:rFonts w:ascii="Calibri" w:hAnsi="Calibri" w:cs="Calibri"/>
                <w:color w:val="000000"/>
                <w:lang w:val="en-US"/>
              </w:rPr>
            </w:pPr>
            <w:r w:rsidRPr="000206DB">
              <w:rPr>
                <w:rFonts w:ascii="Calibri" w:hAnsi="Calibri" w:cs="Calibri"/>
                <w:color w:val="000000"/>
                <w:lang w:val="en-US"/>
              </w:rPr>
              <w:t>12.5</w:t>
            </w:r>
          </w:p>
        </w:tc>
        <w:tc>
          <w:tcPr>
            <w:tcW w:w="1820" w:type="dxa"/>
            <w:tcBorders>
              <w:top w:val="nil"/>
              <w:left w:val="nil"/>
              <w:bottom w:val="single" w:sz="4" w:space="0" w:color="auto"/>
              <w:right w:val="single" w:sz="4" w:space="0" w:color="auto"/>
            </w:tcBorders>
            <w:shd w:val="clear" w:color="auto" w:fill="auto"/>
            <w:noWrap/>
            <w:vAlign w:val="center"/>
            <w:hideMark/>
          </w:tcPr>
          <w:p w14:paraId="68875288" w14:textId="77777777" w:rsidR="000206DB" w:rsidRPr="000206DB" w:rsidRDefault="000206DB" w:rsidP="000206DB">
            <w:pPr>
              <w:spacing w:after="0"/>
              <w:jc w:val="center"/>
              <w:rPr>
                <w:rFonts w:ascii="Calibri" w:hAnsi="Calibri" w:cs="Calibri"/>
                <w:color w:val="000000"/>
                <w:lang w:val="en-US"/>
              </w:rPr>
            </w:pPr>
            <w:r w:rsidRPr="000206DB">
              <w:rPr>
                <w:rFonts w:ascii="Calibri" w:hAnsi="Calibri" w:cs="Calibri"/>
                <w:color w:val="000000"/>
                <w:lang w:val="en-US"/>
              </w:rPr>
              <w:t>8.65</w:t>
            </w:r>
          </w:p>
        </w:tc>
        <w:tc>
          <w:tcPr>
            <w:tcW w:w="1820" w:type="dxa"/>
            <w:tcBorders>
              <w:top w:val="nil"/>
              <w:left w:val="nil"/>
              <w:bottom w:val="single" w:sz="4" w:space="0" w:color="auto"/>
              <w:right w:val="single" w:sz="4" w:space="0" w:color="auto"/>
            </w:tcBorders>
            <w:shd w:val="clear" w:color="auto" w:fill="auto"/>
            <w:noWrap/>
            <w:vAlign w:val="center"/>
            <w:hideMark/>
          </w:tcPr>
          <w:p w14:paraId="2A7626F7" w14:textId="77777777" w:rsidR="000206DB" w:rsidRPr="000206DB" w:rsidRDefault="000206DB" w:rsidP="000206DB">
            <w:pPr>
              <w:spacing w:after="0"/>
              <w:jc w:val="center"/>
              <w:rPr>
                <w:rFonts w:ascii="Calibri" w:hAnsi="Calibri" w:cs="Calibri"/>
                <w:color w:val="000000"/>
                <w:lang w:val="en-US"/>
              </w:rPr>
            </w:pPr>
            <w:r w:rsidRPr="000206DB">
              <w:rPr>
                <w:rFonts w:ascii="Calibri" w:hAnsi="Calibri" w:cs="Calibri"/>
                <w:color w:val="000000"/>
                <w:lang w:val="en-US"/>
              </w:rPr>
              <w:t>8.3</w:t>
            </w:r>
          </w:p>
        </w:tc>
        <w:tc>
          <w:tcPr>
            <w:tcW w:w="1820" w:type="dxa"/>
            <w:tcBorders>
              <w:top w:val="nil"/>
              <w:left w:val="nil"/>
              <w:bottom w:val="single" w:sz="4" w:space="0" w:color="auto"/>
              <w:right w:val="single" w:sz="8" w:space="0" w:color="auto"/>
            </w:tcBorders>
            <w:shd w:val="clear" w:color="auto" w:fill="auto"/>
            <w:noWrap/>
            <w:vAlign w:val="center"/>
            <w:hideMark/>
          </w:tcPr>
          <w:p w14:paraId="11C1995D" w14:textId="77777777" w:rsidR="000206DB" w:rsidRPr="000206DB" w:rsidRDefault="000206DB" w:rsidP="000206DB">
            <w:pPr>
              <w:spacing w:after="0"/>
              <w:jc w:val="center"/>
              <w:rPr>
                <w:rFonts w:ascii="Calibri" w:hAnsi="Calibri" w:cs="Calibri"/>
                <w:color w:val="000000"/>
                <w:lang w:val="en-US"/>
              </w:rPr>
            </w:pPr>
            <w:r w:rsidRPr="000206DB">
              <w:rPr>
                <w:rFonts w:ascii="Calibri" w:hAnsi="Calibri" w:cs="Calibri"/>
                <w:color w:val="000000"/>
                <w:lang w:val="en-US"/>
              </w:rPr>
              <w:t>15.2</w:t>
            </w:r>
          </w:p>
        </w:tc>
      </w:tr>
      <w:tr w:rsidR="000206DB" w:rsidRPr="000206DB" w14:paraId="01307A5A" w14:textId="77777777" w:rsidTr="000206DB">
        <w:trPr>
          <w:trHeight w:val="288"/>
          <w:jc w:val="center"/>
        </w:trPr>
        <w:tc>
          <w:tcPr>
            <w:tcW w:w="2100" w:type="dxa"/>
            <w:tcBorders>
              <w:top w:val="nil"/>
              <w:left w:val="single" w:sz="8" w:space="0" w:color="auto"/>
              <w:bottom w:val="single" w:sz="4" w:space="0" w:color="auto"/>
              <w:right w:val="single" w:sz="4" w:space="0" w:color="auto"/>
            </w:tcBorders>
            <w:shd w:val="clear" w:color="auto" w:fill="auto"/>
            <w:noWrap/>
            <w:vAlign w:val="center"/>
            <w:hideMark/>
          </w:tcPr>
          <w:p w14:paraId="71A68913" w14:textId="77777777" w:rsidR="000206DB" w:rsidRPr="000206DB" w:rsidRDefault="000206DB" w:rsidP="000206DB">
            <w:pPr>
              <w:spacing w:after="0"/>
              <w:jc w:val="center"/>
              <w:rPr>
                <w:rFonts w:ascii="Calibri" w:hAnsi="Calibri" w:cs="Calibri"/>
                <w:color w:val="000000"/>
                <w:lang w:val="en-US"/>
              </w:rPr>
            </w:pPr>
            <w:r w:rsidRPr="000206DB">
              <w:rPr>
                <w:rFonts w:ascii="Calibri" w:hAnsi="Calibri" w:cs="Calibri"/>
                <w:color w:val="000000"/>
                <w:lang w:val="en-US"/>
              </w:rPr>
              <w:t>CA_n258A-n260A</w:t>
            </w:r>
          </w:p>
        </w:tc>
        <w:tc>
          <w:tcPr>
            <w:tcW w:w="1820" w:type="dxa"/>
            <w:tcBorders>
              <w:top w:val="nil"/>
              <w:left w:val="nil"/>
              <w:bottom w:val="single" w:sz="4" w:space="0" w:color="auto"/>
              <w:right w:val="single" w:sz="4" w:space="0" w:color="auto"/>
            </w:tcBorders>
            <w:shd w:val="clear" w:color="auto" w:fill="auto"/>
            <w:noWrap/>
            <w:vAlign w:val="center"/>
            <w:hideMark/>
          </w:tcPr>
          <w:p w14:paraId="1CE5842F" w14:textId="77777777" w:rsidR="000206DB" w:rsidRPr="000206DB" w:rsidRDefault="000206DB" w:rsidP="000206DB">
            <w:pPr>
              <w:spacing w:after="0"/>
              <w:jc w:val="center"/>
              <w:rPr>
                <w:rFonts w:ascii="Calibri" w:hAnsi="Calibri" w:cs="Calibri"/>
                <w:color w:val="000000"/>
                <w:lang w:val="en-US"/>
              </w:rPr>
            </w:pPr>
            <w:r w:rsidRPr="000206DB">
              <w:rPr>
                <w:rFonts w:ascii="Calibri" w:hAnsi="Calibri" w:cs="Calibri"/>
                <w:color w:val="000000"/>
                <w:lang w:val="en-US"/>
              </w:rPr>
              <w:t>15.75</w:t>
            </w:r>
          </w:p>
        </w:tc>
        <w:tc>
          <w:tcPr>
            <w:tcW w:w="1820" w:type="dxa"/>
            <w:tcBorders>
              <w:top w:val="nil"/>
              <w:left w:val="nil"/>
              <w:bottom w:val="single" w:sz="4" w:space="0" w:color="auto"/>
              <w:right w:val="single" w:sz="4" w:space="0" w:color="auto"/>
            </w:tcBorders>
            <w:shd w:val="clear" w:color="auto" w:fill="auto"/>
            <w:noWrap/>
            <w:vAlign w:val="center"/>
            <w:hideMark/>
          </w:tcPr>
          <w:p w14:paraId="2C0CB04E" w14:textId="77777777" w:rsidR="000206DB" w:rsidRPr="000206DB" w:rsidRDefault="000206DB" w:rsidP="000206DB">
            <w:pPr>
              <w:spacing w:after="0"/>
              <w:jc w:val="center"/>
              <w:rPr>
                <w:rFonts w:ascii="Calibri" w:hAnsi="Calibri" w:cs="Calibri"/>
                <w:color w:val="000000"/>
                <w:lang w:val="en-US"/>
              </w:rPr>
            </w:pPr>
            <w:r w:rsidRPr="000206DB">
              <w:rPr>
                <w:rFonts w:ascii="Calibri" w:hAnsi="Calibri" w:cs="Calibri"/>
                <w:color w:val="000000"/>
                <w:lang w:val="en-US"/>
              </w:rPr>
              <w:t>9.5</w:t>
            </w:r>
          </w:p>
        </w:tc>
        <w:tc>
          <w:tcPr>
            <w:tcW w:w="1820" w:type="dxa"/>
            <w:tcBorders>
              <w:top w:val="nil"/>
              <w:left w:val="nil"/>
              <w:bottom w:val="single" w:sz="4" w:space="0" w:color="auto"/>
              <w:right w:val="single" w:sz="4" w:space="0" w:color="auto"/>
            </w:tcBorders>
            <w:shd w:val="clear" w:color="auto" w:fill="auto"/>
            <w:noWrap/>
            <w:vAlign w:val="center"/>
            <w:hideMark/>
          </w:tcPr>
          <w:p w14:paraId="7DD460C5" w14:textId="77777777" w:rsidR="000206DB" w:rsidRPr="000206DB" w:rsidRDefault="000206DB" w:rsidP="000206DB">
            <w:pPr>
              <w:spacing w:after="0"/>
              <w:jc w:val="center"/>
              <w:rPr>
                <w:rFonts w:ascii="Calibri" w:hAnsi="Calibri" w:cs="Calibri"/>
                <w:color w:val="000000"/>
                <w:lang w:val="en-US"/>
              </w:rPr>
            </w:pPr>
            <w:r w:rsidRPr="000206DB">
              <w:rPr>
                <w:rFonts w:ascii="Calibri" w:hAnsi="Calibri" w:cs="Calibri"/>
                <w:color w:val="000000"/>
                <w:lang w:val="en-US"/>
              </w:rPr>
              <w:t>8.3</w:t>
            </w:r>
          </w:p>
        </w:tc>
        <w:tc>
          <w:tcPr>
            <w:tcW w:w="1820" w:type="dxa"/>
            <w:tcBorders>
              <w:top w:val="nil"/>
              <w:left w:val="nil"/>
              <w:bottom w:val="single" w:sz="4" w:space="0" w:color="auto"/>
              <w:right w:val="single" w:sz="8" w:space="0" w:color="auto"/>
            </w:tcBorders>
            <w:shd w:val="clear" w:color="auto" w:fill="auto"/>
            <w:noWrap/>
            <w:vAlign w:val="center"/>
            <w:hideMark/>
          </w:tcPr>
          <w:p w14:paraId="57916DDC" w14:textId="77777777" w:rsidR="000206DB" w:rsidRPr="000206DB" w:rsidRDefault="000206DB" w:rsidP="000206DB">
            <w:pPr>
              <w:spacing w:after="0"/>
              <w:jc w:val="center"/>
              <w:rPr>
                <w:rFonts w:ascii="Calibri" w:hAnsi="Calibri" w:cs="Calibri"/>
                <w:color w:val="000000"/>
                <w:lang w:val="en-US"/>
              </w:rPr>
            </w:pPr>
            <w:r w:rsidRPr="000206DB">
              <w:rPr>
                <w:rFonts w:ascii="Calibri" w:hAnsi="Calibri" w:cs="Calibri"/>
                <w:color w:val="000000"/>
                <w:lang w:val="en-US"/>
              </w:rPr>
              <w:t>15.2</w:t>
            </w:r>
          </w:p>
        </w:tc>
      </w:tr>
      <w:tr w:rsidR="000206DB" w:rsidRPr="000206DB" w14:paraId="751302E6" w14:textId="77777777" w:rsidTr="000206DB">
        <w:trPr>
          <w:trHeight w:val="288"/>
          <w:jc w:val="center"/>
        </w:trPr>
        <w:tc>
          <w:tcPr>
            <w:tcW w:w="2100" w:type="dxa"/>
            <w:tcBorders>
              <w:top w:val="nil"/>
              <w:left w:val="single" w:sz="8" w:space="0" w:color="auto"/>
              <w:bottom w:val="single" w:sz="8" w:space="0" w:color="auto"/>
              <w:right w:val="single" w:sz="4" w:space="0" w:color="auto"/>
            </w:tcBorders>
            <w:shd w:val="clear" w:color="auto" w:fill="auto"/>
            <w:noWrap/>
            <w:vAlign w:val="center"/>
            <w:hideMark/>
          </w:tcPr>
          <w:p w14:paraId="3BD2719D" w14:textId="77777777" w:rsidR="000206DB" w:rsidRPr="000206DB" w:rsidRDefault="000206DB" w:rsidP="000206DB">
            <w:pPr>
              <w:spacing w:after="0"/>
              <w:jc w:val="center"/>
              <w:rPr>
                <w:rFonts w:ascii="Calibri" w:hAnsi="Calibri" w:cs="Calibri"/>
                <w:color w:val="000000"/>
                <w:lang w:val="en-US"/>
              </w:rPr>
            </w:pPr>
            <w:r w:rsidRPr="000206DB">
              <w:rPr>
                <w:rFonts w:ascii="Calibri" w:hAnsi="Calibri" w:cs="Calibri"/>
                <w:color w:val="000000"/>
                <w:lang w:val="en-US"/>
              </w:rPr>
              <w:t>CA_n257A-n259A</w:t>
            </w:r>
          </w:p>
        </w:tc>
        <w:tc>
          <w:tcPr>
            <w:tcW w:w="1820" w:type="dxa"/>
            <w:tcBorders>
              <w:top w:val="nil"/>
              <w:left w:val="nil"/>
              <w:bottom w:val="single" w:sz="8" w:space="0" w:color="auto"/>
              <w:right w:val="single" w:sz="4" w:space="0" w:color="auto"/>
            </w:tcBorders>
            <w:shd w:val="clear" w:color="auto" w:fill="auto"/>
            <w:noWrap/>
            <w:vAlign w:val="center"/>
            <w:hideMark/>
          </w:tcPr>
          <w:p w14:paraId="135D603E" w14:textId="77777777" w:rsidR="000206DB" w:rsidRPr="000206DB" w:rsidRDefault="000206DB" w:rsidP="000206DB">
            <w:pPr>
              <w:spacing w:after="0"/>
              <w:jc w:val="center"/>
              <w:rPr>
                <w:rFonts w:ascii="Calibri" w:hAnsi="Calibri" w:cs="Calibri"/>
                <w:color w:val="000000"/>
                <w:lang w:val="en-US"/>
              </w:rPr>
            </w:pPr>
            <w:r w:rsidRPr="000206DB">
              <w:rPr>
                <w:rFonts w:ascii="Calibri" w:hAnsi="Calibri" w:cs="Calibri"/>
                <w:color w:val="000000"/>
                <w:lang w:val="en-US"/>
              </w:rPr>
              <w:t>17</w:t>
            </w:r>
          </w:p>
        </w:tc>
        <w:tc>
          <w:tcPr>
            <w:tcW w:w="1820" w:type="dxa"/>
            <w:tcBorders>
              <w:top w:val="nil"/>
              <w:left w:val="nil"/>
              <w:bottom w:val="single" w:sz="8" w:space="0" w:color="auto"/>
              <w:right w:val="single" w:sz="4" w:space="0" w:color="auto"/>
            </w:tcBorders>
            <w:shd w:val="clear" w:color="auto" w:fill="auto"/>
            <w:noWrap/>
            <w:vAlign w:val="center"/>
            <w:hideMark/>
          </w:tcPr>
          <w:p w14:paraId="0041DF0D" w14:textId="77777777" w:rsidR="000206DB" w:rsidRPr="000206DB" w:rsidRDefault="000206DB" w:rsidP="000206DB">
            <w:pPr>
              <w:spacing w:after="0"/>
              <w:jc w:val="center"/>
              <w:rPr>
                <w:rFonts w:ascii="Calibri" w:hAnsi="Calibri" w:cs="Calibri"/>
                <w:color w:val="000000"/>
                <w:lang w:val="en-US"/>
              </w:rPr>
            </w:pPr>
            <w:r w:rsidRPr="000206DB">
              <w:rPr>
                <w:rFonts w:ascii="Calibri" w:hAnsi="Calibri" w:cs="Calibri"/>
                <w:color w:val="000000"/>
                <w:lang w:val="en-US"/>
              </w:rPr>
              <w:t>10</w:t>
            </w:r>
          </w:p>
        </w:tc>
        <w:tc>
          <w:tcPr>
            <w:tcW w:w="1820" w:type="dxa"/>
            <w:tcBorders>
              <w:top w:val="nil"/>
              <w:left w:val="nil"/>
              <w:bottom w:val="single" w:sz="8" w:space="0" w:color="auto"/>
              <w:right w:val="single" w:sz="4" w:space="0" w:color="auto"/>
            </w:tcBorders>
            <w:shd w:val="clear" w:color="auto" w:fill="auto"/>
            <w:noWrap/>
            <w:vAlign w:val="center"/>
            <w:hideMark/>
          </w:tcPr>
          <w:p w14:paraId="7A16B5DC" w14:textId="77777777" w:rsidR="000206DB" w:rsidRPr="000206DB" w:rsidRDefault="000206DB" w:rsidP="000206DB">
            <w:pPr>
              <w:spacing w:after="0"/>
              <w:jc w:val="center"/>
              <w:rPr>
                <w:rFonts w:ascii="Calibri" w:hAnsi="Calibri" w:cs="Calibri"/>
                <w:color w:val="000000"/>
                <w:lang w:val="en-US"/>
              </w:rPr>
            </w:pPr>
            <w:r w:rsidRPr="000206DB">
              <w:rPr>
                <w:rFonts w:ascii="Calibri" w:hAnsi="Calibri" w:cs="Calibri"/>
                <w:color w:val="000000"/>
                <w:lang w:val="en-US"/>
              </w:rPr>
              <w:t>7.3</w:t>
            </w:r>
          </w:p>
        </w:tc>
        <w:tc>
          <w:tcPr>
            <w:tcW w:w="1820" w:type="dxa"/>
            <w:tcBorders>
              <w:top w:val="nil"/>
              <w:left w:val="nil"/>
              <w:bottom w:val="single" w:sz="8" w:space="0" w:color="auto"/>
              <w:right w:val="single" w:sz="8" w:space="0" w:color="auto"/>
            </w:tcBorders>
            <w:shd w:val="clear" w:color="auto" w:fill="auto"/>
            <w:noWrap/>
            <w:vAlign w:val="center"/>
            <w:hideMark/>
          </w:tcPr>
          <w:p w14:paraId="544BA558" w14:textId="77777777" w:rsidR="000206DB" w:rsidRPr="000206DB" w:rsidRDefault="000206DB" w:rsidP="000206DB">
            <w:pPr>
              <w:spacing w:after="0"/>
              <w:jc w:val="center"/>
              <w:rPr>
                <w:rFonts w:ascii="Calibri" w:hAnsi="Calibri" w:cs="Calibri"/>
                <w:color w:val="000000"/>
                <w:lang w:val="en-US"/>
              </w:rPr>
            </w:pPr>
            <w:r w:rsidRPr="000206DB">
              <w:rPr>
                <w:rFonts w:ascii="Calibri" w:hAnsi="Calibri" w:cs="Calibri"/>
                <w:color w:val="000000"/>
                <w:lang w:val="en-US"/>
              </w:rPr>
              <w:t>16.4</w:t>
            </w:r>
          </w:p>
        </w:tc>
      </w:tr>
    </w:tbl>
    <w:p w14:paraId="7949C9C3" w14:textId="502B5672" w:rsidR="000206DB" w:rsidRDefault="000206DB" w:rsidP="000206DB">
      <w:pPr>
        <w:spacing w:after="0"/>
        <w:jc w:val="both"/>
        <w:rPr>
          <w:rFonts w:ascii="Arial" w:hAnsi="Arial" w:cs="Arial"/>
        </w:rPr>
      </w:pPr>
      <w:r>
        <w:rPr>
          <w:rFonts w:ascii="Arial" w:hAnsi="Arial" w:cs="Arial"/>
        </w:rPr>
        <w:t xml:space="preserve">  </w:t>
      </w:r>
    </w:p>
    <w:p w14:paraId="01D15C64" w14:textId="169C93AB" w:rsidR="009751F6" w:rsidRPr="000206DB" w:rsidRDefault="000206DB" w:rsidP="000206DB">
      <w:pPr>
        <w:spacing w:after="120"/>
        <w:jc w:val="center"/>
        <w:rPr>
          <w:rFonts w:ascii="Arial" w:hAnsi="Arial" w:cs="Arial"/>
        </w:rPr>
      </w:pPr>
      <w:r>
        <w:rPr>
          <w:rFonts w:ascii="Arial" w:hAnsi="Arial" w:cs="Arial"/>
          <w:b/>
        </w:rPr>
        <w:t>Table 2-1 C</w:t>
      </w:r>
      <w:r w:rsidRPr="000206DB">
        <w:rPr>
          <w:rFonts w:ascii="Arial" w:hAnsi="Arial" w:cs="Arial"/>
          <w:b/>
        </w:rPr>
        <w:t>arrier frequency separation ranges and receiver blocking PSD difference</w:t>
      </w:r>
      <w:r>
        <w:rPr>
          <w:rFonts w:ascii="Arial" w:hAnsi="Arial" w:cs="Arial"/>
          <w:b/>
        </w:rPr>
        <w:t xml:space="preserve"> comparison</w:t>
      </w:r>
    </w:p>
    <w:p w14:paraId="332DF7C0" w14:textId="77777777" w:rsidR="009751F6" w:rsidRDefault="009751F6" w:rsidP="009751F6">
      <w:pPr>
        <w:spacing w:after="0"/>
        <w:jc w:val="both"/>
        <w:rPr>
          <w:rFonts w:ascii="Arial" w:eastAsia="SimSun" w:hAnsi="Arial" w:cs="Arial"/>
          <w:lang w:eastAsia="zh-CN"/>
        </w:rPr>
      </w:pPr>
    </w:p>
    <w:p w14:paraId="698CF8AD" w14:textId="5544C8FC" w:rsidR="009751F6" w:rsidRDefault="000206DB" w:rsidP="0041733B">
      <w:pPr>
        <w:spacing w:after="120"/>
        <w:jc w:val="both"/>
        <w:rPr>
          <w:rFonts w:ascii="Arial" w:hAnsi="Arial" w:cs="Arial"/>
        </w:rPr>
      </w:pPr>
      <w:r>
        <w:rPr>
          <w:rFonts w:ascii="Arial" w:eastAsia="SimSun" w:hAnsi="Arial" w:cs="Arial"/>
          <w:lang w:eastAsia="zh-CN"/>
        </w:rPr>
        <w:t xml:space="preserve">Based on the comparison in Table 2-1, it can be seen that CA_n258A-n260A carrier frequency separation and receiver blocking PSD difference </w:t>
      </w:r>
      <w:r w:rsidR="00757410">
        <w:rPr>
          <w:rFonts w:ascii="Arial" w:eastAsia="SimSun" w:hAnsi="Arial" w:cs="Arial"/>
          <w:lang w:eastAsia="zh-CN"/>
        </w:rPr>
        <w:t>are</w:t>
      </w:r>
      <w:r>
        <w:rPr>
          <w:rFonts w:ascii="Arial" w:eastAsia="SimSun" w:hAnsi="Arial" w:cs="Arial"/>
          <w:lang w:eastAsia="zh-CN"/>
        </w:rPr>
        <w:t xml:space="preserve"> relatively close </w:t>
      </w:r>
      <w:r w:rsidR="00757410">
        <w:rPr>
          <w:rFonts w:ascii="Arial" w:eastAsia="SimSun" w:hAnsi="Arial" w:cs="Arial"/>
          <w:lang w:eastAsia="zh-CN"/>
        </w:rPr>
        <w:t xml:space="preserve">to or the same with </w:t>
      </w:r>
      <w:r>
        <w:rPr>
          <w:rFonts w:ascii="Arial" w:eastAsia="SimSun" w:hAnsi="Arial" w:cs="Arial"/>
          <w:lang w:eastAsia="zh-CN"/>
        </w:rPr>
        <w:t xml:space="preserve">CA_n260A-n261A, while these two characteristics for CA_n257A-n259A are further apart from CA_n260A-n261A. Therefore, </w:t>
      </w:r>
      <w:r>
        <w:rPr>
          <w:rFonts w:ascii="Arial" w:hAnsi="Arial" w:cs="Arial"/>
        </w:rPr>
        <w:t xml:space="preserve">whether the RF </w:t>
      </w:r>
      <w:r>
        <w:rPr>
          <w:rFonts w:ascii="Arial" w:hAnsi="Arial" w:cs="Arial"/>
        </w:rPr>
        <w:lastRenderedPageBreak/>
        <w:t xml:space="preserve">requirements defined for </w:t>
      </w:r>
      <w:r w:rsidRPr="000206DB">
        <w:rPr>
          <w:rFonts w:ascii="Arial" w:hAnsi="Arial" w:cs="Arial"/>
        </w:rPr>
        <w:t>CA_n260A-n261A</w:t>
      </w:r>
      <w:r>
        <w:rPr>
          <w:rFonts w:ascii="Arial" w:hAnsi="Arial" w:cs="Arial"/>
        </w:rPr>
        <w:t xml:space="preserve"> are applicable to </w:t>
      </w:r>
      <w:r w:rsidRPr="000206DB">
        <w:rPr>
          <w:rFonts w:ascii="Arial" w:hAnsi="Arial" w:cs="Arial"/>
        </w:rPr>
        <w:t>CA_n258A-n260A and CA_n257A-n259A</w:t>
      </w:r>
      <w:r>
        <w:rPr>
          <w:rFonts w:ascii="Arial" w:hAnsi="Arial" w:cs="Arial"/>
        </w:rPr>
        <w:t xml:space="preserve"> can be concluded in the following two observations.</w:t>
      </w:r>
    </w:p>
    <w:p w14:paraId="6638939D" w14:textId="2383CA93" w:rsidR="000206DB" w:rsidRDefault="000206DB" w:rsidP="000206DB">
      <w:pPr>
        <w:spacing w:after="0"/>
        <w:jc w:val="both"/>
        <w:rPr>
          <w:rFonts w:ascii="Arial" w:hAnsi="Arial" w:cs="Arial"/>
        </w:rPr>
      </w:pPr>
    </w:p>
    <w:p w14:paraId="11FF2965" w14:textId="273CA395" w:rsidR="000206DB" w:rsidRPr="000206DB" w:rsidRDefault="000206DB" w:rsidP="0041733B">
      <w:pPr>
        <w:spacing w:after="120"/>
        <w:jc w:val="both"/>
        <w:rPr>
          <w:rFonts w:ascii="Arial" w:eastAsia="SimSun" w:hAnsi="Arial" w:cs="Arial"/>
          <w:i/>
          <w:iCs/>
          <w:lang w:eastAsia="zh-CN"/>
        </w:rPr>
      </w:pPr>
      <w:r w:rsidRPr="000206DB">
        <w:rPr>
          <w:rFonts w:ascii="Arial" w:hAnsi="Arial" w:cs="Arial"/>
          <w:b/>
          <w:bCs/>
          <w:i/>
          <w:iCs/>
        </w:rPr>
        <w:t>Observation 1</w:t>
      </w:r>
      <w:r w:rsidRPr="000206DB">
        <w:rPr>
          <w:rFonts w:ascii="Arial" w:hAnsi="Arial" w:cs="Arial"/>
          <w:i/>
          <w:iCs/>
        </w:rPr>
        <w:t>: The RF requirements for CA_n260A-n261A may potentially be applicable to CA_n258A-n260A.</w:t>
      </w:r>
    </w:p>
    <w:p w14:paraId="5A2DC65E" w14:textId="496B2646" w:rsidR="007E5AE9" w:rsidRPr="000206DB" w:rsidRDefault="007E5AE9" w:rsidP="007E5AE9">
      <w:pPr>
        <w:spacing w:after="0"/>
        <w:jc w:val="both"/>
        <w:rPr>
          <w:rFonts w:ascii="Arial" w:hAnsi="Arial" w:cs="Arial"/>
          <w:i/>
          <w:iCs/>
        </w:rPr>
      </w:pPr>
    </w:p>
    <w:p w14:paraId="2EA83A40" w14:textId="753C01C5" w:rsidR="000206DB" w:rsidRDefault="000206DB" w:rsidP="007E5AE9">
      <w:pPr>
        <w:spacing w:after="0"/>
        <w:jc w:val="both"/>
        <w:rPr>
          <w:rFonts w:ascii="Arial" w:hAnsi="Arial" w:cs="Arial"/>
        </w:rPr>
      </w:pPr>
      <w:r w:rsidRPr="000206DB">
        <w:rPr>
          <w:rFonts w:ascii="Arial" w:hAnsi="Arial" w:cs="Arial"/>
          <w:b/>
          <w:bCs/>
          <w:i/>
          <w:iCs/>
        </w:rPr>
        <w:t>Observation 2</w:t>
      </w:r>
      <w:r w:rsidRPr="000206DB">
        <w:rPr>
          <w:rFonts w:ascii="Arial" w:hAnsi="Arial" w:cs="Arial"/>
          <w:i/>
          <w:iCs/>
        </w:rPr>
        <w:t>: The RF requirements for CA_n260A-n261A may not be applicable to CA_n257A-n259A which could be subjected to further performance degradation.</w:t>
      </w:r>
      <w:r>
        <w:rPr>
          <w:rFonts w:ascii="Arial" w:hAnsi="Arial" w:cs="Arial"/>
        </w:rPr>
        <w:t xml:space="preserve"> </w:t>
      </w:r>
    </w:p>
    <w:p w14:paraId="1A059D0F" w14:textId="77777777" w:rsidR="000206DB" w:rsidRPr="000206DB" w:rsidRDefault="000206DB" w:rsidP="007E5AE9">
      <w:pPr>
        <w:spacing w:after="0"/>
        <w:jc w:val="both"/>
        <w:rPr>
          <w:rFonts w:ascii="Arial" w:hAnsi="Arial" w:cs="Arial"/>
        </w:rPr>
      </w:pPr>
    </w:p>
    <w:p w14:paraId="34C99636" w14:textId="288D14AC" w:rsidR="008E7986" w:rsidRDefault="008E7986" w:rsidP="008E7986">
      <w:pPr>
        <w:pStyle w:val="Heading1"/>
      </w:pPr>
      <w:r>
        <w:t>3</w:t>
      </w:r>
      <w:r>
        <w:tab/>
        <w:t>Conclusion</w:t>
      </w:r>
    </w:p>
    <w:p w14:paraId="673660DA" w14:textId="77777777" w:rsidR="004768DA" w:rsidRDefault="004768DA" w:rsidP="004768DA">
      <w:pPr>
        <w:spacing w:after="0"/>
        <w:jc w:val="both"/>
        <w:rPr>
          <w:rFonts w:ascii="Arial" w:hAnsi="Arial" w:cs="Arial"/>
        </w:rPr>
      </w:pPr>
    </w:p>
    <w:p w14:paraId="04AEBBF8" w14:textId="3EEDFA77" w:rsidR="006D7B72" w:rsidRDefault="000206DB" w:rsidP="00C358C6">
      <w:pPr>
        <w:spacing w:after="120"/>
        <w:jc w:val="both"/>
        <w:rPr>
          <w:rFonts w:ascii="Arial" w:hAnsi="Arial" w:cs="Arial"/>
        </w:rPr>
      </w:pPr>
      <w:r>
        <w:rPr>
          <w:rFonts w:ascii="Arial" w:hAnsi="Arial" w:cs="Arial"/>
        </w:rPr>
        <w:t xml:space="preserve">In this contribution, we share our views on whether the RF requirements defined for </w:t>
      </w:r>
      <w:r w:rsidRPr="000206DB">
        <w:rPr>
          <w:rFonts w:ascii="Arial" w:hAnsi="Arial" w:cs="Arial"/>
        </w:rPr>
        <w:t>CA_n260A-n261A</w:t>
      </w:r>
      <w:r>
        <w:rPr>
          <w:rFonts w:ascii="Arial" w:hAnsi="Arial" w:cs="Arial"/>
        </w:rPr>
        <w:t xml:space="preserve"> are applicable to </w:t>
      </w:r>
      <w:r w:rsidRPr="000206DB">
        <w:rPr>
          <w:rFonts w:ascii="Arial" w:hAnsi="Arial" w:cs="Arial"/>
        </w:rPr>
        <w:t>CA_n258A-n260A and CA_n257A-n259A</w:t>
      </w:r>
      <w:r>
        <w:rPr>
          <w:rFonts w:ascii="Arial" w:hAnsi="Arial" w:cs="Arial"/>
        </w:rPr>
        <w:t xml:space="preserve"> and conclude with the following two observations.</w:t>
      </w:r>
    </w:p>
    <w:p w14:paraId="43196713" w14:textId="3DD8123D" w:rsidR="009751F6" w:rsidRDefault="009751F6" w:rsidP="009751F6">
      <w:pPr>
        <w:spacing w:after="0"/>
        <w:jc w:val="both"/>
        <w:rPr>
          <w:rFonts w:ascii="Arial" w:hAnsi="Arial" w:cs="Arial"/>
        </w:rPr>
      </w:pPr>
    </w:p>
    <w:p w14:paraId="467E526C" w14:textId="77777777" w:rsidR="000206DB" w:rsidRPr="000206DB" w:rsidRDefault="000206DB" w:rsidP="000206DB">
      <w:pPr>
        <w:spacing w:after="120"/>
        <w:jc w:val="both"/>
        <w:rPr>
          <w:rFonts w:ascii="Arial" w:eastAsia="SimSun" w:hAnsi="Arial" w:cs="Arial"/>
          <w:i/>
          <w:iCs/>
          <w:lang w:eastAsia="zh-CN"/>
        </w:rPr>
      </w:pPr>
      <w:r w:rsidRPr="000206DB">
        <w:rPr>
          <w:rFonts w:ascii="Arial" w:hAnsi="Arial" w:cs="Arial"/>
          <w:b/>
          <w:bCs/>
          <w:i/>
          <w:iCs/>
        </w:rPr>
        <w:t>Observation 1</w:t>
      </w:r>
      <w:r w:rsidRPr="000206DB">
        <w:rPr>
          <w:rFonts w:ascii="Arial" w:hAnsi="Arial" w:cs="Arial"/>
          <w:i/>
          <w:iCs/>
        </w:rPr>
        <w:t>: The RF requirements for CA_n260A-n261A may potentially be applicable to CA_n258A-n260A.</w:t>
      </w:r>
    </w:p>
    <w:p w14:paraId="772CC8F4" w14:textId="77777777" w:rsidR="000206DB" w:rsidRPr="000206DB" w:rsidRDefault="000206DB" w:rsidP="000206DB">
      <w:pPr>
        <w:spacing w:after="0"/>
        <w:jc w:val="both"/>
        <w:rPr>
          <w:rFonts w:ascii="Arial" w:hAnsi="Arial" w:cs="Arial"/>
          <w:i/>
          <w:iCs/>
        </w:rPr>
      </w:pPr>
    </w:p>
    <w:p w14:paraId="14D23446" w14:textId="0C264309" w:rsidR="006D7B72" w:rsidRDefault="000206DB" w:rsidP="000206DB">
      <w:pPr>
        <w:spacing w:after="120"/>
        <w:jc w:val="both"/>
        <w:rPr>
          <w:rFonts w:ascii="Arial" w:eastAsia="SimSun" w:hAnsi="Arial" w:cs="Arial"/>
          <w:i/>
          <w:iCs/>
          <w:lang w:eastAsia="zh-CN"/>
        </w:rPr>
      </w:pPr>
      <w:r w:rsidRPr="000206DB">
        <w:rPr>
          <w:rFonts w:ascii="Arial" w:hAnsi="Arial" w:cs="Arial"/>
          <w:b/>
          <w:bCs/>
          <w:i/>
          <w:iCs/>
        </w:rPr>
        <w:t>Observation 2</w:t>
      </w:r>
      <w:r w:rsidRPr="000206DB">
        <w:rPr>
          <w:rFonts w:ascii="Arial" w:hAnsi="Arial" w:cs="Arial"/>
          <w:i/>
          <w:iCs/>
        </w:rPr>
        <w:t>: The RF requirements for CA_n260A-n261A may not be applicable to CA_n257A-n259A which could be subjected to further performance degradation.</w:t>
      </w:r>
    </w:p>
    <w:p w14:paraId="65F4B0B2" w14:textId="77777777" w:rsidR="000206DB" w:rsidRPr="000206DB" w:rsidRDefault="000206DB" w:rsidP="000206DB">
      <w:pPr>
        <w:spacing w:after="120"/>
        <w:jc w:val="both"/>
        <w:rPr>
          <w:rFonts w:ascii="Arial" w:eastAsia="SimSun" w:hAnsi="Arial" w:cs="Arial"/>
          <w:lang w:eastAsia="zh-CN"/>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spacing w:after="0"/>
        <w:jc w:val="both"/>
        <w:rPr>
          <w:rFonts w:ascii="Arial" w:hAnsi="Arial" w:cs="Arial"/>
        </w:rPr>
      </w:pPr>
    </w:p>
    <w:p w14:paraId="08C5B690" w14:textId="44714FD9" w:rsidR="002675F0" w:rsidRDefault="009751F6" w:rsidP="008F626A">
      <w:pPr>
        <w:pStyle w:val="EX"/>
        <w:jc w:val="both"/>
        <w:rPr>
          <w:rFonts w:ascii="Arial" w:hAnsi="Arial" w:cs="Arial"/>
        </w:rPr>
      </w:pPr>
      <w:r>
        <w:rPr>
          <w:rFonts w:ascii="Arial" w:hAnsi="Arial" w:cs="Arial"/>
        </w:rPr>
        <w:t>RP-202107 “</w:t>
      </w:r>
      <w:r w:rsidRPr="0041733B">
        <w:rPr>
          <w:rFonts w:ascii="Arial" w:hAnsi="Arial" w:cs="Arial"/>
        </w:rPr>
        <w:t>New WID on NR RF Enhancements for FR2</w:t>
      </w:r>
      <w:r>
        <w:rPr>
          <w:rFonts w:ascii="Arial" w:hAnsi="Arial" w:cs="Arial"/>
        </w:rPr>
        <w:t xml:space="preserve">”, </w:t>
      </w:r>
      <w:r w:rsidRPr="0041733B">
        <w:rPr>
          <w:rFonts w:ascii="Arial" w:hAnsi="Arial" w:cs="Arial"/>
        </w:rPr>
        <w:t>Nokia, Nokia Shanghai Bell</w:t>
      </w:r>
      <w:r>
        <w:rPr>
          <w:rFonts w:ascii="Arial" w:hAnsi="Arial" w:cs="Arial"/>
        </w:rPr>
        <w:t>, 3GPP TSG-RAN Meeting #89-e, September 14</w:t>
      </w:r>
      <w:r w:rsidRPr="004768DA">
        <w:rPr>
          <w:rFonts w:ascii="Arial" w:hAnsi="Arial" w:cs="Arial"/>
          <w:vertAlign w:val="superscript"/>
        </w:rPr>
        <w:t>th</w:t>
      </w:r>
      <w:r>
        <w:rPr>
          <w:rFonts w:ascii="Arial" w:hAnsi="Arial" w:cs="Arial"/>
        </w:rPr>
        <w:t xml:space="preserve"> – 18</w:t>
      </w:r>
      <w:r w:rsidRPr="004768DA">
        <w:rPr>
          <w:rFonts w:ascii="Arial" w:hAnsi="Arial" w:cs="Arial"/>
          <w:vertAlign w:val="superscript"/>
        </w:rPr>
        <w:t>th</w:t>
      </w:r>
      <w:r>
        <w:rPr>
          <w:rFonts w:ascii="Arial" w:hAnsi="Arial" w:cs="Arial"/>
        </w:rPr>
        <w:t>, 2020</w:t>
      </w:r>
    </w:p>
    <w:p w14:paraId="17919B1A" w14:textId="421C10AA" w:rsidR="008F626A" w:rsidRPr="009751F6" w:rsidRDefault="009751F6" w:rsidP="009751F6">
      <w:pPr>
        <w:pStyle w:val="EX"/>
        <w:jc w:val="both"/>
        <w:rPr>
          <w:rFonts w:ascii="Arial" w:hAnsi="Arial" w:cs="Arial"/>
        </w:rPr>
      </w:pPr>
      <w:r w:rsidRPr="009751F6">
        <w:rPr>
          <w:rFonts w:ascii="Arial" w:hAnsi="Arial" w:cs="Arial"/>
        </w:rPr>
        <w:t>R4-201691</w:t>
      </w:r>
      <w:r w:rsidR="000206DB">
        <w:rPr>
          <w:rFonts w:ascii="Arial" w:hAnsi="Arial" w:cs="Arial"/>
        </w:rPr>
        <w:t>6</w:t>
      </w:r>
      <w:r>
        <w:rPr>
          <w:rFonts w:ascii="Arial" w:hAnsi="Arial" w:cs="Arial"/>
        </w:rPr>
        <w:t xml:space="preserve"> “</w:t>
      </w:r>
      <w:r w:rsidR="000206DB" w:rsidRPr="000206DB">
        <w:rPr>
          <w:rFonts w:ascii="Arial" w:hAnsi="Arial" w:cs="Arial"/>
        </w:rPr>
        <w:t>WF on UE requirements for CA configurations CA_n258A-n260A and CA_n257A-n259A based on IBM</w:t>
      </w:r>
      <w:r>
        <w:rPr>
          <w:rFonts w:ascii="Arial" w:hAnsi="Arial" w:cs="Arial"/>
        </w:rPr>
        <w:t>”</w:t>
      </w:r>
      <w:r w:rsidR="008F626A">
        <w:rPr>
          <w:rFonts w:ascii="Arial" w:hAnsi="Arial" w:cs="Arial"/>
        </w:rPr>
        <w:t xml:space="preserve">, </w:t>
      </w:r>
      <w:r w:rsidR="000206DB">
        <w:rPr>
          <w:rFonts w:ascii="Arial" w:hAnsi="Arial" w:cs="Arial"/>
        </w:rPr>
        <w:t>Intel</w:t>
      </w:r>
      <w:r w:rsidR="008F626A">
        <w:rPr>
          <w:rFonts w:ascii="Arial" w:hAnsi="Arial" w:cs="Arial"/>
        </w:rPr>
        <w:t xml:space="preserve">, </w:t>
      </w:r>
      <w:r>
        <w:rPr>
          <w:rFonts w:ascii="Arial" w:hAnsi="Arial" w:cs="Arial"/>
        </w:rPr>
        <w:t>3GPP TSG-RAN WG4 Meeting #97-e, November 2</w:t>
      </w:r>
      <w:r w:rsidRPr="009751F6">
        <w:rPr>
          <w:rFonts w:ascii="Arial" w:hAnsi="Arial" w:cs="Arial"/>
          <w:vertAlign w:val="superscript"/>
        </w:rPr>
        <w:t>nd</w:t>
      </w:r>
      <w:r>
        <w:rPr>
          <w:rFonts w:ascii="Arial" w:hAnsi="Arial" w:cs="Arial"/>
        </w:rPr>
        <w:t xml:space="preserve"> – 13</w:t>
      </w:r>
      <w:r w:rsidRPr="004768DA">
        <w:rPr>
          <w:rFonts w:ascii="Arial" w:hAnsi="Arial" w:cs="Arial"/>
          <w:vertAlign w:val="superscript"/>
        </w:rPr>
        <w:t>th</w:t>
      </w:r>
      <w:r>
        <w:rPr>
          <w:rFonts w:ascii="Arial" w:hAnsi="Arial" w:cs="Arial"/>
        </w:rPr>
        <w:t>, 2020</w:t>
      </w:r>
    </w:p>
    <w:sectPr w:rsidR="008F626A" w:rsidRPr="009751F6"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5F9317" w14:textId="77777777" w:rsidR="00A86D36" w:rsidRDefault="00A86D36">
      <w:r>
        <w:separator/>
      </w:r>
    </w:p>
  </w:endnote>
  <w:endnote w:type="continuationSeparator" w:id="0">
    <w:p w14:paraId="46829830" w14:textId="77777777" w:rsidR="00A86D36" w:rsidRDefault="00A86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DF562E" w14:textId="77777777" w:rsidR="00A86D36" w:rsidRDefault="00A86D36">
      <w:r>
        <w:separator/>
      </w:r>
    </w:p>
  </w:footnote>
  <w:footnote w:type="continuationSeparator" w:id="0">
    <w:p w14:paraId="6E4D501C" w14:textId="77777777" w:rsidR="00A86D36" w:rsidRDefault="00A86D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2"/>
  </w:num>
  <w:num w:numId="7">
    <w:abstractNumId w:val="7"/>
  </w:num>
  <w:num w:numId="8">
    <w:abstractNumId w:val="3"/>
  </w:num>
  <w:num w:numId="9">
    <w:abstractNumId w:val="8"/>
  </w:num>
  <w:num w:numId="10">
    <w:abstractNumId w:val="4"/>
  </w:num>
  <w:num w:numId="11">
    <w:abstractNumId w:val="5"/>
  </w:num>
  <w:num w:numId="12">
    <w:abstractNumId w:val="1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D"/>
    <w:rsid w:val="000206DB"/>
    <w:rsid w:val="00033397"/>
    <w:rsid w:val="00040095"/>
    <w:rsid w:val="00051834"/>
    <w:rsid w:val="00054529"/>
    <w:rsid w:val="00054A22"/>
    <w:rsid w:val="000607C9"/>
    <w:rsid w:val="00062023"/>
    <w:rsid w:val="000655A6"/>
    <w:rsid w:val="0006704A"/>
    <w:rsid w:val="00080512"/>
    <w:rsid w:val="000A0C3B"/>
    <w:rsid w:val="000A365D"/>
    <w:rsid w:val="000A68F3"/>
    <w:rsid w:val="000B61FB"/>
    <w:rsid w:val="000C47C3"/>
    <w:rsid w:val="000D58AB"/>
    <w:rsid w:val="000E1A37"/>
    <w:rsid w:val="00104BC6"/>
    <w:rsid w:val="00114E2C"/>
    <w:rsid w:val="00121103"/>
    <w:rsid w:val="00133525"/>
    <w:rsid w:val="0016611C"/>
    <w:rsid w:val="00166B5C"/>
    <w:rsid w:val="00181118"/>
    <w:rsid w:val="001841B1"/>
    <w:rsid w:val="001A410D"/>
    <w:rsid w:val="001A4C42"/>
    <w:rsid w:val="001C21C3"/>
    <w:rsid w:val="001D02C2"/>
    <w:rsid w:val="001D1470"/>
    <w:rsid w:val="001F0C1D"/>
    <w:rsid w:val="001F1132"/>
    <w:rsid w:val="001F168B"/>
    <w:rsid w:val="00204648"/>
    <w:rsid w:val="002347A2"/>
    <w:rsid w:val="002450A4"/>
    <w:rsid w:val="00247926"/>
    <w:rsid w:val="00261B7C"/>
    <w:rsid w:val="0026424E"/>
    <w:rsid w:val="002675F0"/>
    <w:rsid w:val="00276EE4"/>
    <w:rsid w:val="002A2A03"/>
    <w:rsid w:val="002B6339"/>
    <w:rsid w:val="002D61E3"/>
    <w:rsid w:val="002E00EE"/>
    <w:rsid w:val="003172DC"/>
    <w:rsid w:val="0034052F"/>
    <w:rsid w:val="0035462D"/>
    <w:rsid w:val="003765B8"/>
    <w:rsid w:val="003772E9"/>
    <w:rsid w:val="003A0483"/>
    <w:rsid w:val="003B56B1"/>
    <w:rsid w:val="003C3971"/>
    <w:rsid w:val="003C6A8C"/>
    <w:rsid w:val="003E7753"/>
    <w:rsid w:val="003F0C6B"/>
    <w:rsid w:val="003F6ACE"/>
    <w:rsid w:val="0041733B"/>
    <w:rsid w:val="00423334"/>
    <w:rsid w:val="004345EC"/>
    <w:rsid w:val="00463240"/>
    <w:rsid w:val="004728B7"/>
    <w:rsid w:val="0047564A"/>
    <w:rsid w:val="00475AC6"/>
    <w:rsid w:val="004768DA"/>
    <w:rsid w:val="004819D5"/>
    <w:rsid w:val="004826A9"/>
    <w:rsid w:val="004A5DB3"/>
    <w:rsid w:val="004B5C7F"/>
    <w:rsid w:val="004C15E6"/>
    <w:rsid w:val="004C1601"/>
    <w:rsid w:val="004D3578"/>
    <w:rsid w:val="004D5ADE"/>
    <w:rsid w:val="004E213A"/>
    <w:rsid w:val="004F0988"/>
    <w:rsid w:val="004F3340"/>
    <w:rsid w:val="004F3E3D"/>
    <w:rsid w:val="004F7DEF"/>
    <w:rsid w:val="0053388B"/>
    <w:rsid w:val="00534BE5"/>
    <w:rsid w:val="00535773"/>
    <w:rsid w:val="00543E6C"/>
    <w:rsid w:val="00565087"/>
    <w:rsid w:val="00572E14"/>
    <w:rsid w:val="00594F57"/>
    <w:rsid w:val="005973BE"/>
    <w:rsid w:val="005A5986"/>
    <w:rsid w:val="005A656C"/>
    <w:rsid w:val="005D2E01"/>
    <w:rsid w:val="005D7526"/>
    <w:rsid w:val="005E69AE"/>
    <w:rsid w:val="00602AEA"/>
    <w:rsid w:val="006073EA"/>
    <w:rsid w:val="00607E3C"/>
    <w:rsid w:val="00614FDF"/>
    <w:rsid w:val="00624566"/>
    <w:rsid w:val="006246A7"/>
    <w:rsid w:val="00625205"/>
    <w:rsid w:val="0062595A"/>
    <w:rsid w:val="0063543D"/>
    <w:rsid w:val="00647114"/>
    <w:rsid w:val="006528E0"/>
    <w:rsid w:val="00662106"/>
    <w:rsid w:val="006A2C3D"/>
    <w:rsid w:val="006A323F"/>
    <w:rsid w:val="006A7137"/>
    <w:rsid w:val="006B30D0"/>
    <w:rsid w:val="006C228A"/>
    <w:rsid w:val="006C3D95"/>
    <w:rsid w:val="006D7B72"/>
    <w:rsid w:val="006E5C86"/>
    <w:rsid w:val="0070556D"/>
    <w:rsid w:val="00713C44"/>
    <w:rsid w:val="00734A5B"/>
    <w:rsid w:val="0074026F"/>
    <w:rsid w:val="007429F6"/>
    <w:rsid w:val="00744E76"/>
    <w:rsid w:val="00752198"/>
    <w:rsid w:val="00753881"/>
    <w:rsid w:val="007551EB"/>
    <w:rsid w:val="00757410"/>
    <w:rsid w:val="00772FB5"/>
    <w:rsid w:val="00774DA4"/>
    <w:rsid w:val="00781F0F"/>
    <w:rsid w:val="007B600E"/>
    <w:rsid w:val="007E5AE9"/>
    <w:rsid w:val="007F0F4A"/>
    <w:rsid w:val="008028A4"/>
    <w:rsid w:val="0081783A"/>
    <w:rsid w:val="00820B25"/>
    <w:rsid w:val="00830747"/>
    <w:rsid w:val="008768CA"/>
    <w:rsid w:val="0089062C"/>
    <w:rsid w:val="008A3527"/>
    <w:rsid w:val="008A5F18"/>
    <w:rsid w:val="008C384C"/>
    <w:rsid w:val="008C494B"/>
    <w:rsid w:val="008E7986"/>
    <w:rsid w:val="008F626A"/>
    <w:rsid w:val="0090271F"/>
    <w:rsid w:val="00902E23"/>
    <w:rsid w:val="0091018D"/>
    <w:rsid w:val="009114D7"/>
    <w:rsid w:val="0091348E"/>
    <w:rsid w:val="00917CCB"/>
    <w:rsid w:val="00921E71"/>
    <w:rsid w:val="00930919"/>
    <w:rsid w:val="00942EC2"/>
    <w:rsid w:val="0094625B"/>
    <w:rsid w:val="00952E04"/>
    <w:rsid w:val="00955390"/>
    <w:rsid w:val="00965947"/>
    <w:rsid w:val="0096715B"/>
    <w:rsid w:val="009751F6"/>
    <w:rsid w:val="009929FF"/>
    <w:rsid w:val="009B373D"/>
    <w:rsid w:val="009F37B7"/>
    <w:rsid w:val="009F5E43"/>
    <w:rsid w:val="00A06AAF"/>
    <w:rsid w:val="00A10F02"/>
    <w:rsid w:val="00A13BCD"/>
    <w:rsid w:val="00A13C2E"/>
    <w:rsid w:val="00A14D3F"/>
    <w:rsid w:val="00A164B4"/>
    <w:rsid w:val="00A20472"/>
    <w:rsid w:val="00A26956"/>
    <w:rsid w:val="00A53724"/>
    <w:rsid w:val="00A542F7"/>
    <w:rsid w:val="00A625A6"/>
    <w:rsid w:val="00A67816"/>
    <w:rsid w:val="00A7175A"/>
    <w:rsid w:val="00A73129"/>
    <w:rsid w:val="00A75621"/>
    <w:rsid w:val="00A82346"/>
    <w:rsid w:val="00A83518"/>
    <w:rsid w:val="00A86D36"/>
    <w:rsid w:val="00A9004D"/>
    <w:rsid w:val="00A92BA1"/>
    <w:rsid w:val="00A942D0"/>
    <w:rsid w:val="00AB5A96"/>
    <w:rsid w:val="00AC0150"/>
    <w:rsid w:val="00AC6BC6"/>
    <w:rsid w:val="00AD32E7"/>
    <w:rsid w:val="00AD5F64"/>
    <w:rsid w:val="00AE3797"/>
    <w:rsid w:val="00AF7AB0"/>
    <w:rsid w:val="00B150E6"/>
    <w:rsid w:val="00B15449"/>
    <w:rsid w:val="00B35505"/>
    <w:rsid w:val="00B51CDC"/>
    <w:rsid w:val="00B76FBB"/>
    <w:rsid w:val="00B863E2"/>
    <w:rsid w:val="00B93086"/>
    <w:rsid w:val="00BA19ED"/>
    <w:rsid w:val="00BA300B"/>
    <w:rsid w:val="00BA4B8D"/>
    <w:rsid w:val="00BC0F7D"/>
    <w:rsid w:val="00BE3255"/>
    <w:rsid w:val="00BF095A"/>
    <w:rsid w:val="00BF128E"/>
    <w:rsid w:val="00BF4C3B"/>
    <w:rsid w:val="00C1496A"/>
    <w:rsid w:val="00C33079"/>
    <w:rsid w:val="00C358C6"/>
    <w:rsid w:val="00C45231"/>
    <w:rsid w:val="00C54C23"/>
    <w:rsid w:val="00C575E9"/>
    <w:rsid w:val="00C71DA1"/>
    <w:rsid w:val="00C72833"/>
    <w:rsid w:val="00C80F1D"/>
    <w:rsid w:val="00C87227"/>
    <w:rsid w:val="00C93F40"/>
    <w:rsid w:val="00CA3D0C"/>
    <w:rsid w:val="00CC5BE3"/>
    <w:rsid w:val="00CE2F48"/>
    <w:rsid w:val="00CE6DD7"/>
    <w:rsid w:val="00CF20E3"/>
    <w:rsid w:val="00CF65B5"/>
    <w:rsid w:val="00D309CC"/>
    <w:rsid w:val="00D463D6"/>
    <w:rsid w:val="00D46431"/>
    <w:rsid w:val="00D56A52"/>
    <w:rsid w:val="00D57972"/>
    <w:rsid w:val="00D675A9"/>
    <w:rsid w:val="00D738D6"/>
    <w:rsid w:val="00D755EB"/>
    <w:rsid w:val="00D8507E"/>
    <w:rsid w:val="00D87E00"/>
    <w:rsid w:val="00D9134D"/>
    <w:rsid w:val="00DA7A03"/>
    <w:rsid w:val="00DB1818"/>
    <w:rsid w:val="00DB4052"/>
    <w:rsid w:val="00DB79F7"/>
    <w:rsid w:val="00DC309B"/>
    <w:rsid w:val="00DC4DA2"/>
    <w:rsid w:val="00DD4C17"/>
    <w:rsid w:val="00DF2B1F"/>
    <w:rsid w:val="00DF6189"/>
    <w:rsid w:val="00DF62CD"/>
    <w:rsid w:val="00E16509"/>
    <w:rsid w:val="00E2413E"/>
    <w:rsid w:val="00E44582"/>
    <w:rsid w:val="00E52814"/>
    <w:rsid w:val="00E64596"/>
    <w:rsid w:val="00E72324"/>
    <w:rsid w:val="00E72ABE"/>
    <w:rsid w:val="00E74333"/>
    <w:rsid w:val="00E77645"/>
    <w:rsid w:val="00EC4847"/>
    <w:rsid w:val="00EC4A25"/>
    <w:rsid w:val="00EC55DC"/>
    <w:rsid w:val="00EE5AA7"/>
    <w:rsid w:val="00EF70F3"/>
    <w:rsid w:val="00F025A2"/>
    <w:rsid w:val="00F04712"/>
    <w:rsid w:val="00F06F13"/>
    <w:rsid w:val="00F07305"/>
    <w:rsid w:val="00F10C13"/>
    <w:rsid w:val="00F21311"/>
    <w:rsid w:val="00F22EC7"/>
    <w:rsid w:val="00F325C8"/>
    <w:rsid w:val="00F62AEB"/>
    <w:rsid w:val="00F653B8"/>
    <w:rsid w:val="00F70647"/>
    <w:rsid w:val="00F7495C"/>
    <w:rsid w:val="00F87D29"/>
    <w:rsid w:val="00FA1266"/>
    <w:rsid w:val="00FC1192"/>
    <w:rsid w:val="00FE24D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Pages>
  <Words>628</Words>
  <Characters>3583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4203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2021-01-15T20:35:00Z</dcterms:created>
  <dcterms:modified xsi:type="dcterms:W3CDTF">2021-01-15T20:35:00Z</dcterms:modified>
  <cp:category/>
</cp:coreProperties>
</file>